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C6AB0">
        <w:rPr>
          <w:rFonts w:ascii="Arial" w:hAnsi="Arial" w:cs="Arial"/>
          <w:b/>
          <w:bCs/>
          <w:sz w:val="24"/>
          <w:szCs w:val="24"/>
        </w:rPr>
        <w:t>6e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1350" w:rsidRPr="00981350">
        <w:rPr>
          <w:rFonts w:ascii="Arial" w:hAnsi="Arial" w:cs="Arial"/>
          <w:b/>
          <w:bCs/>
          <w:sz w:val="28"/>
          <w:szCs w:val="24"/>
        </w:rPr>
        <w:t>S2-2304728</w:t>
      </w:r>
    </w:p>
    <w:p w:rsidR="00463675" w:rsidRPr="000F4E43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6AB0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685D0B" w:rsidRDefault="00463675" w:rsidP="000F4E43">
      <w:pPr>
        <w:pStyle w:val="ac"/>
      </w:pPr>
      <w:r w:rsidRPr="00685D0B">
        <w:t>Title:</w:t>
      </w:r>
      <w:r w:rsidRPr="00685D0B">
        <w:tab/>
      </w:r>
      <w:r w:rsidR="008427A9" w:rsidRPr="008427A9">
        <w:rPr>
          <w:color w:val="000000"/>
        </w:rPr>
        <w:t xml:space="preserve">Reply </w:t>
      </w:r>
      <w:r w:rsidR="00233CBC" w:rsidRPr="00685D0B">
        <w:rPr>
          <w:color w:val="000000"/>
        </w:rPr>
        <w:t>LS on IAB Authorization</w:t>
      </w:r>
    </w:p>
    <w:p w:rsidR="00463675" w:rsidRPr="00685D0B" w:rsidRDefault="00463675" w:rsidP="000F4E43">
      <w:pPr>
        <w:pStyle w:val="ac"/>
      </w:pPr>
      <w:r w:rsidRPr="00685D0B">
        <w:t>Response to:</w:t>
      </w:r>
      <w:r w:rsidRPr="00685D0B">
        <w:tab/>
      </w:r>
      <w:r w:rsidRPr="00685D0B">
        <w:rPr>
          <w:color w:val="000000"/>
        </w:rPr>
        <w:t>LS (</w:t>
      </w:r>
      <w:r w:rsidR="00BF693D" w:rsidRPr="00BF693D">
        <w:rPr>
          <w:color w:val="000000"/>
        </w:rPr>
        <w:t>S2-2303962</w:t>
      </w:r>
      <w:r w:rsidR="00BF693D">
        <w:rPr>
          <w:rFonts w:hint="eastAsia"/>
          <w:color w:val="000000"/>
          <w:lang w:eastAsia="zh-CN"/>
        </w:rPr>
        <w:t>/</w:t>
      </w:r>
      <w:r w:rsidR="006C1747" w:rsidRPr="00685D0B">
        <w:rPr>
          <w:color w:val="000000"/>
        </w:rPr>
        <w:t>R3-231010</w:t>
      </w:r>
      <w:r w:rsidRPr="00685D0B">
        <w:rPr>
          <w:color w:val="000000"/>
        </w:rPr>
        <w:t xml:space="preserve">) on </w:t>
      </w:r>
      <w:r w:rsidR="006C1747" w:rsidRPr="00685D0B">
        <w:rPr>
          <w:color w:val="000000"/>
        </w:rPr>
        <w:t>IAB Authorization from RAN3</w:t>
      </w:r>
    </w:p>
    <w:p w:rsidR="00463675" w:rsidRPr="00685D0B" w:rsidRDefault="00463675" w:rsidP="000F4E43">
      <w:pPr>
        <w:pStyle w:val="ac"/>
      </w:pPr>
      <w:r w:rsidRPr="00685D0B">
        <w:t>Release:</w:t>
      </w:r>
      <w:r w:rsidRPr="00685D0B">
        <w:tab/>
      </w:r>
      <w:r w:rsidR="00685D0B" w:rsidRPr="00685D0B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685D0B">
        <w:t>Work Item:</w:t>
      </w:r>
      <w:r w:rsidRPr="00685D0B">
        <w:tab/>
      </w:r>
      <w:r w:rsidR="00685D0B" w:rsidRPr="00685D0B">
        <w:rPr>
          <w:color w:val="000000"/>
        </w:rPr>
        <w:t>NR_IAB-Core</w:t>
      </w:r>
      <w:r w:rsidR="00C954CD" w:rsidRPr="00C954CD">
        <w:rPr>
          <w:color w:val="000000"/>
        </w:rPr>
        <w:t>, IABARC</w:t>
      </w:r>
      <w:bookmarkStart w:id="0" w:name="_GoBack"/>
      <w:bookmarkEnd w:id="0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85D0B">
        <w:rPr>
          <w:b w:val="0"/>
        </w:rPr>
        <w:t>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85D0B">
        <w:rPr>
          <w:b w:val="0"/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2017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2017">
        <w:rPr>
          <w:b w:val="0"/>
          <w:bCs/>
        </w:rPr>
        <w:t>raymond</w:t>
      </w:r>
      <w:r w:rsidR="00032017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32017">
        <w:rPr>
          <w:b w:val="0"/>
          <w:bCs/>
        </w:rPr>
        <w:t xml:space="preserve">limeng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67843" w:rsidRPr="005649D5">
        <w:t xml:space="preserve">TS 23.401 </w:t>
      </w:r>
      <w:r w:rsidR="00B67843" w:rsidRPr="005649D5">
        <w:rPr>
          <w:rFonts w:hint="eastAsia"/>
        </w:rPr>
        <w:t>(</w:t>
      </w:r>
      <w:r w:rsidR="005649D5" w:rsidRPr="005649D5">
        <w:t>CR3728</w:t>
      </w:r>
      <w:r w:rsidR="00B67843" w:rsidRPr="005649D5">
        <w:t>, CR</w:t>
      </w:r>
      <w:r w:rsidR="005649D5" w:rsidRPr="005649D5">
        <w:t xml:space="preserve"> 3729</w:t>
      </w:r>
      <w:r w:rsidR="00B67843" w:rsidRPr="005649D5">
        <w:t>, CR</w:t>
      </w:r>
      <w:r w:rsidR="005649D5" w:rsidRPr="005649D5">
        <w:t>3730</w:t>
      </w:r>
      <w:r w:rsidR="00B67843" w:rsidRPr="005649D5">
        <w:t>)</w:t>
      </w:r>
      <w:r w:rsidR="003E6F84" w:rsidRPr="005649D5">
        <w:t xml:space="preserve">, TS 23.501 </w:t>
      </w:r>
      <w:r w:rsidR="003E6F84" w:rsidRPr="005649D5">
        <w:rPr>
          <w:rFonts w:hint="eastAsia"/>
        </w:rPr>
        <w:t>(</w:t>
      </w:r>
      <w:r w:rsidR="003E6F84" w:rsidRPr="005649D5">
        <w:t>CR</w:t>
      </w:r>
      <w:r w:rsidR="005649D5" w:rsidRPr="005649D5">
        <w:t xml:space="preserve"> 4388</w:t>
      </w:r>
      <w:r w:rsidR="003E6F84" w:rsidRPr="005649D5">
        <w:t>, CR</w:t>
      </w:r>
      <w:r w:rsidR="005649D5" w:rsidRPr="005649D5">
        <w:t xml:space="preserve"> 4389</w:t>
      </w:r>
      <w:r w:rsidR="003E6F84" w:rsidRPr="005649D5">
        <w:t>, CR</w:t>
      </w:r>
      <w:r w:rsidR="005649D5" w:rsidRPr="005649D5">
        <w:t xml:space="preserve"> 4390</w:t>
      </w:r>
      <w:r w:rsidR="005649D5"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97CEE" w:rsidRDefault="00E97CEE" w:rsidP="00E97CEE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8464C3">
        <w:rPr>
          <w:rFonts w:ascii="Arial" w:hAnsi="Arial" w:cs="Arial"/>
        </w:rPr>
        <w:t xml:space="preserve">on </w:t>
      </w:r>
      <w:r w:rsidRPr="00E97CEE">
        <w:rPr>
          <w:rFonts w:ascii="Arial" w:hAnsi="Arial" w:cs="Arial"/>
        </w:rPr>
        <w:t>IAB Authorization</w:t>
      </w:r>
      <w:r w:rsidR="001B34DE">
        <w:rPr>
          <w:rFonts w:ascii="Arial" w:hAnsi="Arial" w:cs="Arial"/>
        </w:rPr>
        <w:t xml:space="preserve"> (</w:t>
      </w:r>
      <w:r w:rsidR="001B34DE" w:rsidRPr="001B34DE">
        <w:rPr>
          <w:rFonts w:ascii="Arial" w:hAnsi="Arial" w:cs="Arial"/>
        </w:rPr>
        <w:t>R3-231010</w:t>
      </w:r>
      <w:r w:rsidR="001B34D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:rsidR="00871BD3" w:rsidRDefault="00871BD3" w:rsidP="00E97CEE">
      <w:pPr>
        <w:rPr>
          <w:rFonts w:ascii="Arial" w:hAnsi="Arial" w:cs="Arial"/>
        </w:rPr>
      </w:pPr>
    </w:p>
    <w:p w:rsidR="009939CD" w:rsidRPr="006666EA" w:rsidRDefault="00032017" w:rsidP="00993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</w:t>
      </w:r>
      <w:r w:rsidRPr="006666EA">
        <w:rPr>
          <w:rFonts w:ascii="Arial" w:hAnsi="Arial" w:cs="Arial" w:hint="eastAsia"/>
        </w:rPr>
        <w:t xml:space="preserve">ttached </w:t>
      </w:r>
      <w:r w:rsidR="009939CD" w:rsidRPr="006666EA">
        <w:rPr>
          <w:rFonts w:ascii="Arial" w:hAnsi="Arial" w:cs="Arial" w:hint="eastAsia"/>
        </w:rPr>
        <w:t>CR</w:t>
      </w:r>
      <w:r>
        <w:rPr>
          <w:rFonts w:ascii="Arial" w:hAnsi="Arial" w:cs="Arial"/>
        </w:rPr>
        <w:t xml:space="preserve">s that </w:t>
      </w:r>
      <w:r w:rsidRPr="006666EA">
        <w:rPr>
          <w:rFonts w:ascii="Arial" w:hAnsi="Arial" w:cs="Arial" w:hint="eastAsia"/>
        </w:rPr>
        <w:t>clarif</w:t>
      </w:r>
      <w:r>
        <w:rPr>
          <w:rFonts w:ascii="Arial" w:hAnsi="Arial" w:cs="Arial"/>
        </w:rPr>
        <w:t>y</w:t>
      </w:r>
      <w:r w:rsidRPr="006666EA">
        <w:rPr>
          <w:rFonts w:ascii="Arial" w:hAnsi="Arial" w:cs="Arial" w:hint="eastAsia"/>
        </w:rPr>
        <w:t xml:space="preserve"> </w:t>
      </w:r>
      <w:r w:rsidR="009939CD" w:rsidRPr="006666EA">
        <w:rPr>
          <w:rFonts w:ascii="Arial" w:hAnsi="Arial" w:cs="Arial"/>
        </w:rPr>
        <w:t xml:space="preserve">the </w:t>
      </w:r>
      <w:r w:rsidR="00531F68" w:rsidRPr="006666EA">
        <w:rPr>
          <w:rFonts w:ascii="Arial" w:hAnsi="Arial" w:cs="Arial"/>
        </w:rPr>
        <w:t xml:space="preserve">different </w:t>
      </w:r>
      <w:r w:rsidR="00020D56" w:rsidRPr="006666EA">
        <w:rPr>
          <w:rFonts w:ascii="Arial" w:hAnsi="Arial" w:cs="Arial"/>
        </w:rPr>
        <w:t xml:space="preserve">options of </w:t>
      </w:r>
      <w:r w:rsidR="009939CD" w:rsidRPr="006666EA">
        <w:rPr>
          <w:rFonts w:ascii="Arial" w:hAnsi="Arial" w:cs="Arial"/>
        </w:rPr>
        <w:t>AMF</w:t>
      </w:r>
      <w:r w:rsidR="006666EA" w:rsidRPr="006666EA">
        <w:rPr>
          <w:rFonts w:ascii="Arial" w:hAnsi="Arial" w:cs="Arial" w:hint="eastAsia"/>
        </w:rPr>
        <w:t>/</w:t>
      </w:r>
      <w:r w:rsidR="006666EA" w:rsidRPr="006666EA">
        <w:rPr>
          <w:rFonts w:ascii="Arial" w:hAnsi="Arial" w:cs="Arial"/>
        </w:rPr>
        <w:t>MME</w:t>
      </w:r>
      <w:r w:rsidR="009939CD" w:rsidRPr="006666EA">
        <w:rPr>
          <w:rFonts w:ascii="Arial" w:hAnsi="Arial" w:cs="Arial"/>
        </w:rPr>
        <w:t xml:space="preserve"> behaviour when the IAB’s authorization is “not authorized”</w:t>
      </w:r>
      <w:r w:rsidR="009939CD" w:rsidRPr="006666EA">
        <w:rPr>
          <w:rFonts w:ascii="Arial" w:hAnsi="Arial" w:cs="Arial" w:hint="eastAsia"/>
        </w:rPr>
        <w:t>.</w:t>
      </w:r>
    </w:p>
    <w:p w:rsidR="009939CD" w:rsidRDefault="009939CD" w:rsidP="009939CD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B33452" w:rsidRPr="00B33452" w:rsidRDefault="00B33452" w:rsidP="00B33452">
      <w:pPr>
        <w:pStyle w:val="ad"/>
        <w:numPr>
          <w:ilvl w:val="0"/>
          <w:numId w:val="15"/>
        </w:numPr>
        <w:spacing w:after="0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B33452">
        <w:rPr>
          <w:rFonts w:ascii="Arial" w:eastAsia="Malgun Gothic" w:hAnsi="Arial" w:cs="Arial"/>
          <w:sz w:val="20"/>
          <w:szCs w:val="20"/>
          <w:lang w:val="en-GB" w:eastAsia="ko-KR"/>
        </w:rPr>
        <w:t>Opti</w:t>
      </w:r>
      <w:r>
        <w:rPr>
          <w:rFonts w:ascii="Arial" w:eastAsia="Malgun Gothic" w:hAnsi="Arial" w:cs="Arial"/>
          <w:sz w:val="20"/>
          <w:szCs w:val="20"/>
          <w:lang w:val="en-GB" w:eastAsia="ko-KR"/>
        </w:rPr>
        <w:t xml:space="preserve">on 1: </w:t>
      </w:r>
      <w:r w:rsidR="0009690E">
        <w:rPr>
          <w:rFonts w:ascii="Arial" w:eastAsia="Malgun Gothic" w:hAnsi="Arial" w:cs="Arial"/>
          <w:sz w:val="20"/>
          <w:szCs w:val="20"/>
          <w:lang w:val="en-GB" w:eastAsia="ko-KR"/>
        </w:rPr>
        <w:t xml:space="preserve">the </w:t>
      </w:r>
      <w:r w:rsidRPr="006666EA">
        <w:rPr>
          <w:rFonts w:ascii="Arial" w:eastAsiaTheme="minorEastAsia" w:hAnsi="Arial" w:cs="Arial"/>
          <w:sz w:val="20"/>
          <w:szCs w:val="20"/>
          <w:lang w:val="en-GB"/>
        </w:rPr>
        <w:t>AMF</w:t>
      </w:r>
      <w:r w:rsidR="006666EA" w:rsidRPr="006666EA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6666EA" w:rsidRPr="006666EA">
        <w:rPr>
          <w:rFonts w:ascii="Arial" w:eastAsiaTheme="minorEastAsia" w:hAnsi="Arial" w:cs="Arial"/>
          <w:sz w:val="20"/>
          <w:szCs w:val="20"/>
          <w:lang w:val="en-GB"/>
        </w:rPr>
        <w:t>MME</w:t>
      </w:r>
      <w:r w:rsidRPr="006666EA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20D56" w:rsidRPr="006666EA">
        <w:rPr>
          <w:rFonts w:ascii="Arial" w:eastAsiaTheme="minorEastAsia" w:hAnsi="Arial" w:cs="Arial"/>
          <w:sz w:val="20"/>
          <w:szCs w:val="20"/>
          <w:lang w:val="en-GB"/>
        </w:rPr>
        <w:t>re</w:t>
      </w:r>
      <w:r w:rsidR="00802A61" w:rsidRPr="006666EA">
        <w:rPr>
          <w:rFonts w:ascii="Arial" w:eastAsiaTheme="minorEastAsia" w:hAnsi="Arial" w:cs="Arial"/>
          <w:sz w:val="20"/>
          <w:szCs w:val="20"/>
          <w:lang w:val="en-GB"/>
        </w:rPr>
        <w:t>jects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the IAB-UE’s registration</w:t>
      </w:r>
      <w:r w:rsidR="000F655F" w:rsidRPr="000F655F">
        <w:rPr>
          <w:rFonts w:ascii="Arial" w:eastAsiaTheme="minorEastAsia" w:hAnsi="Arial" w:cs="Arial"/>
          <w:sz w:val="20"/>
          <w:szCs w:val="20"/>
          <w:lang w:val="en-GB"/>
        </w:rPr>
        <w:t>/attach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A787A">
        <w:rPr>
          <w:rFonts w:ascii="Arial" w:eastAsiaTheme="minorEastAsia" w:hAnsi="Arial" w:cs="Arial"/>
          <w:sz w:val="20"/>
          <w:szCs w:val="20"/>
          <w:lang w:val="en-GB"/>
        </w:rPr>
        <w:t xml:space="preserve">request 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or </w:t>
      </w:r>
      <w:r w:rsidRPr="000F655F">
        <w:rPr>
          <w:rFonts w:ascii="Arial" w:eastAsiaTheme="minorEastAsia" w:hAnsi="Arial" w:cs="Arial"/>
          <w:sz w:val="20"/>
          <w:szCs w:val="20"/>
          <w:lang w:val="en-GB"/>
        </w:rPr>
        <w:t>de-register</w:t>
      </w:r>
      <w:r w:rsidR="00020D56" w:rsidRPr="000F655F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F655F" w:rsidRPr="000F655F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0F655F" w:rsidRPr="000F655F">
        <w:rPr>
          <w:rFonts w:ascii="Arial" w:eastAsiaTheme="minorEastAsia" w:hAnsi="Arial" w:cs="Arial"/>
          <w:sz w:val="20"/>
          <w:szCs w:val="20"/>
          <w:lang w:val="en-GB"/>
        </w:rPr>
        <w:t>detach</w:t>
      </w:r>
      <w:r w:rsidR="00C1423D">
        <w:rPr>
          <w:rFonts w:ascii="Arial" w:eastAsiaTheme="minorEastAsia" w:hAnsi="Arial" w:cs="Arial"/>
          <w:sz w:val="20"/>
          <w:szCs w:val="20"/>
          <w:lang w:val="en-GB"/>
        </w:rPr>
        <w:t>es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the IAB-UE</w:t>
      </w:r>
      <w:r w:rsidRPr="000F655F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:rsidR="00B33452" w:rsidRPr="00B33452" w:rsidRDefault="00B33452" w:rsidP="00B33452">
      <w:pPr>
        <w:pStyle w:val="ad"/>
        <w:numPr>
          <w:ilvl w:val="0"/>
          <w:numId w:val="15"/>
        </w:numPr>
        <w:spacing w:after="0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B33452">
        <w:rPr>
          <w:rFonts w:ascii="Arial" w:eastAsia="Malgun Gothic" w:hAnsi="Arial" w:cs="Arial"/>
          <w:sz w:val="20"/>
          <w:szCs w:val="20"/>
          <w:lang w:val="en-GB" w:eastAsia="ko-KR"/>
        </w:rPr>
        <w:t xml:space="preserve">Option 2: </w:t>
      </w:r>
      <w:r w:rsidR="0009690E">
        <w:rPr>
          <w:rFonts w:ascii="Arial" w:eastAsia="Malgun Gothic" w:hAnsi="Arial" w:cs="Arial"/>
          <w:sz w:val="20"/>
          <w:szCs w:val="20"/>
          <w:lang w:val="en-GB" w:eastAsia="ko-KR"/>
        </w:rPr>
        <w:t xml:space="preserve">the 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>AMF</w:t>
      </w:r>
      <w:r w:rsidR="006666EA" w:rsidRPr="006666EA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6666EA" w:rsidRPr="006666EA">
        <w:rPr>
          <w:rFonts w:ascii="Arial" w:eastAsiaTheme="minorEastAsia" w:hAnsi="Arial" w:cs="Arial"/>
          <w:sz w:val="20"/>
          <w:szCs w:val="20"/>
          <w:lang w:val="en-GB"/>
        </w:rPr>
        <w:t>MME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initiate</w:t>
      </w:r>
      <w:r w:rsidR="00531F68" w:rsidRPr="00220FB3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C84348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UE </w:t>
      </w:r>
      <w:r w:rsidR="00C84348" w:rsidRPr="00DE435C">
        <w:rPr>
          <w:rFonts w:ascii="Arial" w:eastAsiaTheme="minorEastAsia" w:hAnsi="Arial" w:cs="Arial"/>
          <w:sz w:val="20"/>
          <w:szCs w:val="20"/>
          <w:lang w:val="en-GB"/>
        </w:rPr>
        <w:t>Context setup/</w:t>
      </w:r>
      <w:r w:rsidRPr="00DE435C">
        <w:rPr>
          <w:rFonts w:ascii="Arial" w:eastAsiaTheme="minorEastAsia" w:hAnsi="Arial" w:cs="Arial"/>
          <w:sz w:val="20"/>
          <w:szCs w:val="20"/>
          <w:lang w:val="en-GB"/>
        </w:rPr>
        <w:t>Modification procedure</w:t>
      </w:r>
      <w:r w:rsidR="00E254CD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by providing IAB authorized indication with the value set to “not authorized” to the NG-RAN</w:t>
      </w:r>
      <w:r w:rsidR="00DB57FA" w:rsidRPr="00220FB3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FC397E" w:rsidRPr="00220FB3">
        <w:rPr>
          <w:rFonts w:ascii="Arial" w:eastAsiaTheme="minorEastAsia" w:hAnsi="Arial" w:cs="Arial"/>
          <w:sz w:val="20"/>
          <w:szCs w:val="20"/>
          <w:lang w:val="en-GB"/>
        </w:rPr>
        <w:t>E-UTRAN</w:t>
      </w:r>
      <w:r w:rsidR="00802A61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, but </w:t>
      </w:r>
      <w:r w:rsidR="00531F68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 w:rsidR="00802A61" w:rsidRPr="00220FB3">
        <w:rPr>
          <w:rFonts w:ascii="Arial" w:eastAsiaTheme="minorEastAsia" w:hAnsi="Arial" w:cs="Arial"/>
          <w:sz w:val="20"/>
          <w:szCs w:val="20"/>
          <w:lang w:val="en-GB"/>
        </w:rPr>
        <w:t>IAB-UE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is still</w:t>
      </w:r>
      <w:r w:rsidR="00E01B4D">
        <w:rPr>
          <w:rFonts w:ascii="Arial" w:eastAsiaTheme="minorEastAsia" w:hAnsi="Arial" w:cs="Arial"/>
          <w:sz w:val="20"/>
          <w:szCs w:val="20"/>
          <w:lang w:val="en-GB"/>
        </w:rPr>
        <w:t xml:space="preserve"> registered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:rsidR="00A37555" w:rsidRPr="000F4E43" w:rsidRDefault="00A37555">
      <w:pPr>
        <w:rPr>
          <w:rFonts w:ascii="Arial" w:hAnsi="Arial" w:cs="Arial"/>
          <w:i/>
          <w:iCs/>
          <w:color w:val="FF0000"/>
        </w:rPr>
      </w:pPr>
    </w:p>
    <w:p w:rsidR="00094E76" w:rsidRPr="00094E76" w:rsidRDefault="00094E76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Regarding </w:t>
      </w:r>
      <w:r w:rsidR="005E18AB">
        <w:rPr>
          <w:rFonts w:ascii="Arial" w:eastAsia="Malgun Gothic" w:hAnsi="Arial" w:cs="Arial"/>
          <w:lang w:eastAsia="ko-KR"/>
        </w:rPr>
        <w:t>O</w:t>
      </w:r>
      <w:r w:rsidRPr="00094E76">
        <w:rPr>
          <w:rFonts w:ascii="Arial" w:eastAsia="Malgun Gothic" w:hAnsi="Arial" w:cs="Arial"/>
          <w:lang w:eastAsia="ko-KR"/>
        </w:rPr>
        <w:t xml:space="preserve">ption 2, SA2 also discussed how to handle the PDU session or PDN connection for the OAM system </w:t>
      </w:r>
      <w:r>
        <w:rPr>
          <w:rFonts w:ascii="Arial" w:eastAsia="Malgun Gothic" w:hAnsi="Arial" w:cs="Arial"/>
          <w:lang w:eastAsia="ko-KR"/>
        </w:rPr>
        <w:t xml:space="preserve">access. SA2 reached the agreement that </w:t>
      </w:r>
      <w:r w:rsidRPr="00094E76">
        <w:rPr>
          <w:rFonts w:ascii="Arial" w:eastAsia="Malgun Gothic" w:hAnsi="Arial" w:cs="Arial"/>
          <w:lang w:eastAsia="ko-KR"/>
        </w:rPr>
        <w:t>the PDU session or PDN connection for the OAM system access shall be rejected or released by the 5GC</w:t>
      </w:r>
      <w:r w:rsidR="00D208E4" w:rsidRPr="00D208E4">
        <w:rPr>
          <w:rFonts w:ascii="Arial" w:eastAsia="Malgun Gothic" w:hAnsi="Arial" w:cs="Arial" w:hint="eastAsia"/>
          <w:lang w:eastAsia="ko-KR"/>
        </w:rPr>
        <w:t>/</w:t>
      </w:r>
      <w:r w:rsidR="001271A5">
        <w:rPr>
          <w:rFonts w:ascii="Arial" w:eastAsia="Malgun Gothic" w:hAnsi="Arial" w:cs="Arial"/>
          <w:lang w:eastAsia="ko-KR"/>
        </w:rPr>
        <w:t>EPC</w:t>
      </w:r>
      <w:r>
        <w:rPr>
          <w:rFonts w:ascii="Arial" w:eastAsia="Malgun Gothic" w:hAnsi="Arial" w:cs="Arial"/>
          <w:lang w:eastAsia="ko-KR"/>
        </w:rPr>
        <w:t xml:space="preserve">. </w:t>
      </w:r>
    </w:p>
    <w:p w:rsidR="00094E76" w:rsidRDefault="00094E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94E76" w:rsidRPr="000F4E43" w:rsidRDefault="00094E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71017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E71017">
        <w:rPr>
          <w:rFonts w:ascii="Arial" w:hAnsi="Arial" w:cs="Arial"/>
          <w:color w:val="000000"/>
        </w:rPr>
        <w:t xml:space="preserve">RAN3 </w:t>
      </w:r>
      <w:r w:rsidR="00E71017" w:rsidRPr="0043245A">
        <w:rPr>
          <w:rFonts w:ascii="Arial" w:hAnsi="Arial" w:cs="Arial"/>
          <w:color w:val="000000"/>
        </w:rPr>
        <w:t>group to take the above feedback into account</w:t>
      </w:r>
      <w:r w:rsidR="00E71017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F57EF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E46" w:rsidRDefault="00A74E46">
      <w:r>
        <w:separator/>
      </w:r>
    </w:p>
  </w:endnote>
  <w:endnote w:type="continuationSeparator" w:id="0">
    <w:p w:rsidR="00A74E46" w:rsidRDefault="00A7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E46" w:rsidRDefault="00A74E46">
      <w:r>
        <w:separator/>
      </w:r>
    </w:p>
  </w:footnote>
  <w:footnote w:type="continuationSeparator" w:id="0">
    <w:p w:rsidR="00A74E46" w:rsidRDefault="00A74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20D56"/>
    <w:rsid w:val="00030AAE"/>
    <w:rsid w:val="00032017"/>
    <w:rsid w:val="00051868"/>
    <w:rsid w:val="000534DD"/>
    <w:rsid w:val="00076BB0"/>
    <w:rsid w:val="00094E76"/>
    <w:rsid w:val="0009690E"/>
    <w:rsid w:val="000A1FC4"/>
    <w:rsid w:val="000D6E40"/>
    <w:rsid w:val="000E7FEC"/>
    <w:rsid w:val="000F08AB"/>
    <w:rsid w:val="000F1040"/>
    <w:rsid w:val="000F4E43"/>
    <w:rsid w:val="000F655F"/>
    <w:rsid w:val="00101DC4"/>
    <w:rsid w:val="001271A5"/>
    <w:rsid w:val="00130D6F"/>
    <w:rsid w:val="001404A4"/>
    <w:rsid w:val="00144B78"/>
    <w:rsid w:val="00175A43"/>
    <w:rsid w:val="00175C86"/>
    <w:rsid w:val="0019277B"/>
    <w:rsid w:val="001A31C6"/>
    <w:rsid w:val="001B34DE"/>
    <w:rsid w:val="001B7D46"/>
    <w:rsid w:val="001C1B1A"/>
    <w:rsid w:val="001C25DA"/>
    <w:rsid w:val="001D71CA"/>
    <w:rsid w:val="00220FB3"/>
    <w:rsid w:val="0022103D"/>
    <w:rsid w:val="00223ED5"/>
    <w:rsid w:val="002323B8"/>
    <w:rsid w:val="00233CBC"/>
    <w:rsid w:val="002359B5"/>
    <w:rsid w:val="00237F4E"/>
    <w:rsid w:val="00243599"/>
    <w:rsid w:val="00246B9C"/>
    <w:rsid w:val="00250EA7"/>
    <w:rsid w:val="00264A7F"/>
    <w:rsid w:val="002668C2"/>
    <w:rsid w:val="002B149A"/>
    <w:rsid w:val="003007F7"/>
    <w:rsid w:val="00305AD7"/>
    <w:rsid w:val="003145E8"/>
    <w:rsid w:val="00324937"/>
    <w:rsid w:val="00344778"/>
    <w:rsid w:val="003801B5"/>
    <w:rsid w:val="003856A3"/>
    <w:rsid w:val="00387EBE"/>
    <w:rsid w:val="003A0F66"/>
    <w:rsid w:val="003C4C2B"/>
    <w:rsid w:val="003C6ED3"/>
    <w:rsid w:val="003C7031"/>
    <w:rsid w:val="003D04C5"/>
    <w:rsid w:val="003D4891"/>
    <w:rsid w:val="003D516B"/>
    <w:rsid w:val="003E1B0B"/>
    <w:rsid w:val="003E6F84"/>
    <w:rsid w:val="00416573"/>
    <w:rsid w:val="0043226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20EB"/>
    <w:rsid w:val="004A31B6"/>
    <w:rsid w:val="004C6AB0"/>
    <w:rsid w:val="004E15BE"/>
    <w:rsid w:val="004E592D"/>
    <w:rsid w:val="004E7F6A"/>
    <w:rsid w:val="004F4A64"/>
    <w:rsid w:val="00531F68"/>
    <w:rsid w:val="005413A8"/>
    <w:rsid w:val="005649D5"/>
    <w:rsid w:val="00565276"/>
    <w:rsid w:val="00574CB5"/>
    <w:rsid w:val="00584B08"/>
    <w:rsid w:val="00586194"/>
    <w:rsid w:val="005918EF"/>
    <w:rsid w:val="00595688"/>
    <w:rsid w:val="005A00EA"/>
    <w:rsid w:val="005C38C8"/>
    <w:rsid w:val="005E18AB"/>
    <w:rsid w:val="005F513A"/>
    <w:rsid w:val="00600780"/>
    <w:rsid w:val="00606065"/>
    <w:rsid w:val="00611C47"/>
    <w:rsid w:val="006253A0"/>
    <w:rsid w:val="0062789B"/>
    <w:rsid w:val="0065343A"/>
    <w:rsid w:val="006612FD"/>
    <w:rsid w:val="006666EA"/>
    <w:rsid w:val="006759EE"/>
    <w:rsid w:val="00682768"/>
    <w:rsid w:val="00685D0B"/>
    <w:rsid w:val="00686C29"/>
    <w:rsid w:val="00693898"/>
    <w:rsid w:val="00695393"/>
    <w:rsid w:val="006B2326"/>
    <w:rsid w:val="006B389A"/>
    <w:rsid w:val="006B7FC9"/>
    <w:rsid w:val="006C1747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02A61"/>
    <w:rsid w:val="0080454F"/>
    <w:rsid w:val="00827222"/>
    <w:rsid w:val="00834BD7"/>
    <w:rsid w:val="0084049C"/>
    <w:rsid w:val="00841710"/>
    <w:rsid w:val="008427A9"/>
    <w:rsid w:val="00844354"/>
    <w:rsid w:val="0085215B"/>
    <w:rsid w:val="00854847"/>
    <w:rsid w:val="0086711C"/>
    <w:rsid w:val="00871BD3"/>
    <w:rsid w:val="00892980"/>
    <w:rsid w:val="00895E01"/>
    <w:rsid w:val="008A6E32"/>
    <w:rsid w:val="008B2BBD"/>
    <w:rsid w:val="008C2107"/>
    <w:rsid w:val="008D3BA0"/>
    <w:rsid w:val="008D6007"/>
    <w:rsid w:val="008F1776"/>
    <w:rsid w:val="008F5F35"/>
    <w:rsid w:val="00906004"/>
    <w:rsid w:val="00923E7C"/>
    <w:rsid w:val="00937F85"/>
    <w:rsid w:val="00961FC4"/>
    <w:rsid w:val="00962688"/>
    <w:rsid w:val="009759AC"/>
    <w:rsid w:val="00981350"/>
    <w:rsid w:val="009939CD"/>
    <w:rsid w:val="009961CA"/>
    <w:rsid w:val="00996DAA"/>
    <w:rsid w:val="009A787A"/>
    <w:rsid w:val="009B265F"/>
    <w:rsid w:val="009B349E"/>
    <w:rsid w:val="009D4F3B"/>
    <w:rsid w:val="009E5C6F"/>
    <w:rsid w:val="009E709E"/>
    <w:rsid w:val="009F76A3"/>
    <w:rsid w:val="00A07FCE"/>
    <w:rsid w:val="00A37555"/>
    <w:rsid w:val="00A40CCC"/>
    <w:rsid w:val="00A441B5"/>
    <w:rsid w:val="00A74E46"/>
    <w:rsid w:val="00A80196"/>
    <w:rsid w:val="00A86BDB"/>
    <w:rsid w:val="00A97246"/>
    <w:rsid w:val="00AA3F43"/>
    <w:rsid w:val="00AB6EC3"/>
    <w:rsid w:val="00AB7CF6"/>
    <w:rsid w:val="00AC6962"/>
    <w:rsid w:val="00AE1BD2"/>
    <w:rsid w:val="00AF57EF"/>
    <w:rsid w:val="00AF5D18"/>
    <w:rsid w:val="00B04284"/>
    <w:rsid w:val="00B10016"/>
    <w:rsid w:val="00B31FE9"/>
    <w:rsid w:val="00B33452"/>
    <w:rsid w:val="00B574F9"/>
    <w:rsid w:val="00B57BDA"/>
    <w:rsid w:val="00B67843"/>
    <w:rsid w:val="00B76927"/>
    <w:rsid w:val="00B81AA1"/>
    <w:rsid w:val="00BB77FB"/>
    <w:rsid w:val="00BD727C"/>
    <w:rsid w:val="00BE363D"/>
    <w:rsid w:val="00BF693D"/>
    <w:rsid w:val="00C050F1"/>
    <w:rsid w:val="00C1423D"/>
    <w:rsid w:val="00C25B1D"/>
    <w:rsid w:val="00C33343"/>
    <w:rsid w:val="00C4081E"/>
    <w:rsid w:val="00C47105"/>
    <w:rsid w:val="00C55D6B"/>
    <w:rsid w:val="00C64A23"/>
    <w:rsid w:val="00C66EB9"/>
    <w:rsid w:val="00C817B0"/>
    <w:rsid w:val="00C831C8"/>
    <w:rsid w:val="00C84348"/>
    <w:rsid w:val="00C87FBC"/>
    <w:rsid w:val="00C9202D"/>
    <w:rsid w:val="00C954CD"/>
    <w:rsid w:val="00CA6FCD"/>
    <w:rsid w:val="00CB666D"/>
    <w:rsid w:val="00CE15C4"/>
    <w:rsid w:val="00CF1040"/>
    <w:rsid w:val="00D03F4E"/>
    <w:rsid w:val="00D1087F"/>
    <w:rsid w:val="00D11572"/>
    <w:rsid w:val="00D1595C"/>
    <w:rsid w:val="00D208E4"/>
    <w:rsid w:val="00D43F53"/>
    <w:rsid w:val="00D5113A"/>
    <w:rsid w:val="00D60729"/>
    <w:rsid w:val="00D67A72"/>
    <w:rsid w:val="00D812DC"/>
    <w:rsid w:val="00D87C32"/>
    <w:rsid w:val="00D92AD1"/>
    <w:rsid w:val="00DA61BB"/>
    <w:rsid w:val="00DA75CA"/>
    <w:rsid w:val="00DB57FA"/>
    <w:rsid w:val="00DC4E49"/>
    <w:rsid w:val="00DD788E"/>
    <w:rsid w:val="00DE24B5"/>
    <w:rsid w:val="00DE435C"/>
    <w:rsid w:val="00DF184D"/>
    <w:rsid w:val="00E01B4D"/>
    <w:rsid w:val="00E037FD"/>
    <w:rsid w:val="00E254CD"/>
    <w:rsid w:val="00E4038D"/>
    <w:rsid w:val="00E71017"/>
    <w:rsid w:val="00E74294"/>
    <w:rsid w:val="00E87510"/>
    <w:rsid w:val="00E97CEE"/>
    <w:rsid w:val="00EC13E9"/>
    <w:rsid w:val="00EC66E5"/>
    <w:rsid w:val="00ED5470"/>
    <w:rsid w:val="00EE3074"/>
    <w:rsid w:val="00EF44EC"/>
    <w:rsid w:val="00F148B9"/>
    <w:rsid w:val="00F248C0"/>
    <w:rsid w:val="00F25264"/>
    <w:rsid w:val="00F330DA"/>
    <w:rsid w:val="00F37397"/>
    <w:rsid w:val="00F508E2"/>
    <w:rsid w:val="00F62570"/>
    <w:rsid w:val="00F71E4B"/>
    <w:rsid w:val="00F979E9"/>
    <w:rsid w:val="00FB0D38"/>
    <w:rsid w:val="00FC2A0F"/>
    <w:rsid w:val="00FC397E"/>
    <w:rsid w:val="00FE3207"/>
    <w:rsid w:val="00FF0800"/>
    <w:rsid w:val="00FF10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d"/>
    <w:uiPriority w:val="34"/>
    <w:qFormat/>
    <w:locked/>
    <w:rsid w:val="00B33452"/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3"/>
    <w:uiPriority w:val="34"/>
    <w:qFormat/>
    <w:rsid w:val="00B3345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167</cp:revision>
  <cp:lastPrinted>2002-04-23T08:10:00Z</cp:lastPrinted>
  <dcterms:created xsi:type="dcterms:W3CDTF">2020-03-09T10:11:00Z</dcterms:created>
  <dcterms:modified xsi:type="dcterms:W3CDTF">2023-04-07T10:26:00Z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(3)/BAvjBIOjAXb5u4nIaPgH16bFIGxCxoNEkjIXIe0TFyZ3eu13xDyV354cs9+qS6lXmDrfkRQ
hgviqOTiqQn+TR1CjGDkTltXEqCGvd3s/74qSaeTh7GaAzMvHxVZkaEkXoBfe+739ngXCZz0
AhK+u9QkocavxfMlpq0ia1PvoevIq4XdX/CaXqEkJW1EYmqqGJoH598qcN4r5uuXWM1AofKf
QDdDzWIE+zDqzN3wcl</vt:lpwstr>
  </property>
  <property fmtid="{D5CDD505-2E9C-101B-9397-08002B2CF9AE}" pid="3" name="_2015_ms_pID_7253431">
    <vt:lpwstr>T1LvKgXr9KmhVKlBXZxBKKXugljwtX4fWUq5ykbDKXvJo8G6GvAshM
GR0LrhB3LQUaVpipiEOMOGuVe3UJA7hsT1dZPcyFMgdiD1CDD7M7Jsl4MpLk2dgbSlHTxyx/
Z76Qqt2skut7CFfVqMdvOJnbyDUsNGlPtQfeG+krJrXPO9WFKQGnnxrB6vCyu6a79puLCTJG
d4D9SaPOIsVUvZ8OdJK/6zbK+KHNKhBuwcX5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1680674959</vt:lpwstr>
  </property>
</Properties>
</file>